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Randstad NMH Rates - University of St. Andrews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table below shows the Randstad NMH rates for the University of St. Andrews. The greyed out cells indicate that we do not currently offer these services in this area.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rates have been updated as of 01/04/2024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tl w:val="0"/>
        </w:rPr>
        <w:t xml:space="preserve">: NMH Support Rates shown per hour in the table below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1245"/>
        <w:gridCol w:w="825"/>
        <w:gridCol w:w="1245"/>
        <w:tblGridChange w:id="0">
          <w:tblGrid>
            <w:gridCol w:w="5625"/>
            <w:gridCol w:w="1245"/>
            <w:gridCol w:w="825"/>
            <w:gridCol w:w="1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Charge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Total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1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Sighted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Practical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Library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Workshop / Laboratory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Proofreader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2 Enhanced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Manual Notetaker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rHeight w:val="352.61718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Study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£34.19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£6.84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£41.03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Examination Support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£25.54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£5.11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£30.65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3 Specialist Enabling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Deaf/Hard of Hearing students - Includes Electronic Note Taking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Visually Impaired (VI) students - including Braille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Transcription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4 Specialist Access and Learning Facilitators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Mental Health Difficulties (MH)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£56.73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£10.00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£68.08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Autism Spectrum Conditions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£56.73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£10.00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£68.08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(SpLD)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£56.73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£10.00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£68.08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£56.73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£10.00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£68.08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